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99F" w:rsidRDefault="008D199F">
      <w:pPr>
        <w:rPr>
          <w:lang w:val="bg-BG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4608"/>
        <w:gridCol w:w="5484"/>
      </w:tblGrid>
      <w:tr w:rsidR="008D199F" w:rsidRPr="008D199F" w:rsidTr="00723F9A">
        <w:trPr>
          <w:trHeight w:val="300"/>
        </w:trPr>
        <w:tc>
          <w:tcPr>
            <w:tcW w:w="518" w:type="dxa"/>
          </w:tcPr>
          <w:p w:rsidR="008D199F" w:rsidRPr="008D199F" w:rsidRDefault="008D199F" w:rsidP="008D19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99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08" w:type="dxa"/>
          </w:tcPr>
          <w:p w:rsidR="008D199F" w:rsidRPr="008D199F" w:rsidRDefault="008D199F" w:rsidP="008D19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D199F">
              <w:rPr>
                <w:rFonts w:ascii="Times New Roman" w:hAnsi="Times New Roman"/>
                <w:b/>
                <w:sz w:val="24"/>
                <w:szCs w:val="24"/>
              </w:rPr>
              <w:t>Задължителна</w:t>
            </w:r>
            <w:proofErr w:type="spellEnd"/>
            <w:r w:rsidRPr="008D19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199F">
              <w:rPr>
                <w:rFonts w:ascii="Times New Roman" w:hAnsi="Times New Roman"/>
                <w:b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5484" w:type="dxa"/>
          </w:tcPr>
          <w:p w:rsidR="008D199F" w:rsidRPr="008D199F" w:rsidRDefault="008D199F" w:rsidP="008D19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D199F">
              <w:rPr>
                <w:rFonts w:ascii="Times New Roman" w:hAnsi="Times New Roman"/>
                <w:b/>
                <w:sz w:val="24"/>
                <w:szCs w:val="24"/>
              </w:rPr>
              <w:t>Образователни</w:t>
            </w:r>
            <w:proofErr w:type="spellEnd"/>
            <w:r w:rsidRPr="008D19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199F">
              <w:rPr>
                <w:rFonts w:ascii="Times New Roman" w:hAnsi="Times New Roman"/>
                <w:b/>
                <w:sz w:val="24"/>
                <w:szCs w:val="24"/>
              </w:rPr>
              <w:t>услуги</w:t>
            </w:r>
            <w:proofErr w:type="spellEnd"/>
          </w:p>
        </w:tc>
      </w:tr>
      <w:tr w:rsidR="008D199F" w:rsidRPr="008D199F" w:rsidTr="00723F9A">
        <w:trPr>
          <w:trHeight w:val="336"/>
        </w:trPr>
        <w:tc>
          <w:tcPr>
            <w:tcW w:w="518" w:type="dxa"/>
          </w:tcPr>
          <w:p w:rsidR="008D199F" w:rsidRPr="008D199F" w:rsidRDefault="008D199F" w:rsidP="008D199F">
            <w:pPr>
              <w:spacing w:after="0" w:line="240" w:lineRule="auto"/>
              <w:ind w:left="138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</w:pPr>
            <w:r w:rsidRPr="008D199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608" w:type="dxa"/>
          </w:tcPr>
          <w:p w:rsidR="008D199F" w:rsidRPr="008D199F" w:rsidRDefault="008D199F" w:rsidP="008D1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D199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  <w:t>Наименование</w:t>
            </w:r>
            <w:proofErr w:type="spellEnd"/>
            <w:r w:rsidRPr="008D199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D199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  <w:t>на</w:t>
            </w:r>
            <w:proofErr w:type="spellEnd"/>
            <w:r w:rsidRPr="008D199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D199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  <w:t>административната</w:t>
            </w:r>
            <w:proofErr w:type="spellEnd"/>
            <w:r w:rsidRPr="008D199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D199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  <w:t>услуга</w:t>
            </w:r>
            <w:proofErr w:type="spellEnd"/>
          </w:p>
        </w:tc>
        <w:tc>
          <w:tcPr>
            <w:tcW w:w="5484" w:type="dxa"/>
          </w:tcPr>
          <w:p w:rsidR="008D199F" w:rsidRPr="008D199F" w:rsidRDefault="008D199F" w:rsidP="008D19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D199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Издаване на удостоверения за </w:t>
            </w:r>
            <w:proofErr w:type="spellStart"/>
            <w:r w:rsidRPr="008D199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валидиране</w:t>
            </w:r>
            <w:proofErr w:type="spellEnd"/>
            <w:r w:rsidRPr="008D199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на компетентности в съответствие с изискванията за завършване на клас, етап или основна степен на образование.</w:t>
            </w:r>
          </w:p>
          <w:p w:rsidR="008D199F" w:rsidRPr="008D199F" w:rsidRDefault="008D199F" w:rsidP="008D1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</w:pPr>
          </w:p>
        </w:tc>
      </w:tr>
      <w:tr w:rsidR="008D199F" w:rsidRPr="008D199F" w:rsidTr="008D199F">
        <w:trPr>
          <w:trHeight w:val="1387"/>
        </w:trPr>
        <w:tc>
          <w:tcPr>
            <w:tcW w:w="518" w:type="dxa"/>
          </w:tcPr>
          <w:p w:rsidR="008D199F" w:rsidRPr="008D199F" w:rsidRDefault="008D199F" w:rsidP="008D199F">
            <w:pPr>
              <w:spacing w:after="0" w:line="240" w:lineRule="auto"/>
              <w:ind w:left="138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</w:pPr>
            <w:r w:rsidRPr="008D199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608" w:type="dxa"/>
          </w:tcPr>
          <w:p w:rsidR="008D199F" w:rsidRPr="008D199F" w:rsidRDefault="008D199F" w:rsidP="008D1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</w:pPr>
            <w:r w:rsidRPr="008D199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  <w:r w:rsidRPr="008D199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</w:tc>
        <w:tc>
          <w:tcPr>
            <w:tcW w:w="5484" w:type="dxa"/>
          </w:tcPr>
          <w:p w:rsidR="008D199F" w:rsidRPr="008D199F" w:rsidRDefault="008D199F" w:rsidP="008D1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D199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Закон за предучилищното и училищното образование; </w:t>
            </w:r>
          </w:p>
          <w:p w:rsidR="008D199F" w:rsidRPr="008D199F" w:rsidRDefault="008D199F" w:rsidP="008D1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</w:pPr>
            <w:r w:rsidRPr="008D199F">
              <w:rPr>
                <w:rFonts w:ascii="Times New Roman" w:hAnsi="Times New Roman"/>
                <w:sz w:val="24"/>
                <w:szCs w:val="24"/>
                <w:lang w:val="bg-BG"/>
              </w:rPr>
              <w:t>Наредба 11 от 01.09.2016 г. за оценяване на резултатите от обучението на учениците ( от чл.123 до чл.128 вкл.).</w:t>
            </w:r>
          </w:p>
        </w:tc>
      </w:tr>
      <w:tr w:rsidR="008D199F" w:rsidRPr="008D199F" w:rsidTr="00723F9A">
        <w:trPr>
          <w:trHeight w:val="672"/>
        </w:trPr>
        <w:tc>
          <w:tcPr>
            <w:tcW w:w="518" w:type="dxa"/>
          </w:tcPr>
          <w:p w:rsidR="008D199F" w:rsidRPr="008D199F" w:rsidRDefault="008D199F" w:rsidP="008D199F">
            <w:pPr>
              <w:spacing w:after="0" w:line="240" w:lineRule="auto"/>
              <w:ind w:left="138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</w:pPr>
            <w:r w:rsidRPr="008D199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608" w:type="dxa"/>
          </w:tcPr>
          <w:p w:rsidR="008D199F" w:rsidRPr="008D199F" w:rsidRDefault="008D199F" w:rsidP="008D1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</w:pPr>
            <w:r w:rsidRPr="008D199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Орган, който предоставя административната услуга/издава индивидуалния административен акт.</w:t>
            </w:r>
          </w:p>
        </w:tc>
        <w:tc>
          <w:tcPr>
            <w:tcW w:w="5484" w:type="dxa"/>
          </w:tcPr>
          <w:p w:rsidR="008D199F" w:rsidRPr="008D199F" w:rsidRDefault="008D199F" w:rsidP="008D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D199F">
              <w:rPr>
                <w:rFonts w:ascii="Times New Roman" w:hAnsi="Times New Roman"/>
                <w:sz w:val="24"/>
                <w:szCs w:val="24"/>
                <w:lang w:val="bg-BG"/>
              </w:rPr>
              <w:t>Директорът на училището</w:t>
            </w:r>
          </w:p>
          <w:p w:rsidR="008D199F" w:rsidRPr="008D199F" w:rsidRDefault="008D199F" w:rsidP="008D1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D199F" w:rsidRPr="008D199F" w:rsidTr="00723F9A">
        <w:trPr>
          <w:trHeight w:val="672"/>
        </w:trPr>
        <w:tc>
          <w:tcPr>
            <w:tcW w:w="518" w:type="dxa"/>
          </w:tcPr>
          <w:p w:rsidR="008D199F" w:rsidRPr="008D199F" w:rsidRDefault="008D199F" w:rsidP="008D199F">
            <w:pPr>
              <w:spacing w:after="0" w:line="240" w:lineRule="auto"/>
              <w:ind w:left="138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</w:pPr>
            <w:r w:rsidRPr="008D199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608" w:type="dxa"/>
          </w:tcPr>
          <w:p w:rsidR="008D199F" w:rsidRPr="008D199F" w:rsidRDefault="008D199F" w:rsidP="008D1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</w:pPr>
            <w:r w:rsidRPr="008D199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5484" w:type="dxa"/>
          </w:tcPr>
          <w:p w:rsidR="008D199F" w:rsidRPr="008D199F" w:rsidRDefault="008D199F" w:rsidP="008D1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D199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</w:t>
            </w:r>
            <w:proofErr w:type="spellStart"/>
            <w:r w:rsidRPr="008D199F">
              <w:rPr>
                <w:rFonts w:ascii="Times New Roman" w:hAnsi="Times New Roman"/>
                <w:sz w:val="24"/>
                <w:szCs w:val="24"/>
                <w:lang w:val="bg-BG"/>
              </w:rPr>
              <w:t>валидиране</w:t>
            </w:r>
            <w:proofErr w:type="spellEnd"/>
            <w:r w:rsidRPr="008D199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компетентности се подава заявление до директора на училището, към което се прилага документ за завършен предходен клас или етап. Заявлението се подава лично или от упълномощено лице на място в сградата на училището. Удостоверение се издава на всички лица, доказали компетентности в съответствие с изискванията за завършване на клас, начален, прогимназиален или първи гимназиален етап или основна степен на образование и има удостоверителен характер.</w:t>
            </w:r>
          </w:p>
        </w:tc>
      </w:tr>
      <w:tr w:rsidR="008D199F" w:rsidRPr="008D199F" w:rsidTr="00723F9A">
        <w:trPr>
          <w:trHeight w:val="672"/>
        </w:trPr>
        <w:tc>
          <w:tcPr>
            <w:tcW w:w="518" w:type="dxa"/>
          </w:tcPr>
          <w:p w:rsidR="008D199F" w:rsidRPr="008D199F" w:rsidRDefault="008D199F" w:rsidP="008D199F">
            <w:pPr>
              <w:spacing w:after="0" w:line="240" w:lineRule="auto"/>
              <w:ind w:left="138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</w:pPr>
            <w:r w:rsidRPr="008D199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608" w:type="dxa"/>
          </w:tcPr>
          <w:p w:rsidR="008D199F" w:rsidRPr="008D199F" w:rsidRDefault="008D199F" w:rsidP="008D1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</w:pPr>
            <w:r w:rsidRPr="008D199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Начини на заявяване на услугата</w:t>
            </w:r>
          </w:p>
        </w:tc>
        <w:tc>
          <w:tcPr>
            <w:tcW w:w="5484" w:type="dxa"/>
          </w:tcPr>
          <w:p w:rsidR="008D199F" w:rsidRPr="008D199F" w:rsidRDefault="008D199F" w:rsidP="008D1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D199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Заявление за </w:t>
            </w:r>
            <w:proofErr w:type="spellStart"/>
            <w:r w:rsidRPr="008D199F">
              <w:rPr>
                <w:rFonts w:ascii="Times New Roman" w:hAnsi="Times New Roman"/>
                <w:sz w:val="24"/>
                <w:szCs w:val="24"/>
                <w:lang w:val="bg-BG"/>
              </w:rPr>
              <w:t>валидиране</w:t>
            </w:r>
            <w:proofErr w:type="spellEnd"/>
            <w:r w:rsidRPr="008D199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компетентности по образец (може да бъде изтеглено от интернет страницата на училището, както и да бъде получено на място) и </w:t>
            </w:r>
            <w:r w:rsidRPr="008D199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коректно попълнено с точно вписани данни</w:t>
            </w:r>
            <w:r w:rsidRPr="008D199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се подава</w:t>
            </w:r>
            <w:r w:rsidRPr="008D199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на място </w:t>
            </w:r>
            <w:r w:rsidRPr="008D199F">
              <w:rPr>
                <w:rFonts w:ascii="Times New Roman" w:hAnsi="Times New Roman"/>
                <w:sz w:val="24"/>
                <w:szCs w:val="24"/>
                <w:lang w:val="bg-BG"/>
              </w:rPr>
              <w:t>в училището</w:t>
            </w:r>
          </w:p>
        </w:tc>
      </w:tr>
      <w:tr w:rsidR="008D199F" w:rsidRPr="008D199F" w:rsidTr="00723F9A">
        <w:trPr>
          <w:trHeight w:val="672"/>
        </w:trPr>
        <w:tc>
          <w:tcPr>
            <w:tcW w:w="518" w:type="dxa"/>
          </w:tcPr>
          <w:p w:rsidR="008D199F" w:rsidRPr="008D199F" w:rsidRDefault="008D199F" w:rsidP="008D199F">
            <w:pPr>
              <w:spacing w:after="0" w:line="240" w:lineRule="auto"/>
              <w:ind w:left="138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</w:pPr>
            <w:r w:rsidRPr="008D199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608" w:type="dxa"/>
          </w:tcPr>
          <w:p w:rsidR="008D199F" w:rsidRPr="008D199F" w:rsidRDefault="008D199F" w:rsidP="008D1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</w:pPr>
            <w:r w:rsidRPr="008D199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</w:t>
            </w:r>
          </w:p>
        </w:tc>
        <w:tc>
          <w:tcPr>
            <w:tcW w:w="5484" w:type="dxa"/>
          </w:tcPr>
          <w:p w:rsidR="008D199F" w:rsidRPr="008D199F" w:rsidRDefault="008D199F" w:rsidP="008D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D199F">
              <w:rPr>
                <w:rFonts w:ascii="Times New Roman" w:hAnsi="Times New Roman"/>
                <w:sz w:val="24"/>
                <w:szCs w:val="24"/>
                <w:lang w:val="bg-BG"/>
              </w:rPr>
              <w:t>Не се предоставя по електронен път</w:t>
            </w:r>
          </w:p>
          <w:p w:rsidR="008D199F" w:rsidRPr="008D199F" w:rsidRDefault="008D199F" w:rsidP="008D1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D199F" w:rsidRPr="008D199F" w:rsidTr="00723F9A">
        <w:trPr>
          <w:trHeight w:val="672"/>
        </w:trPr>
        <w:tc>
          <w:tcPr>
            <w:tcW w:w="518" w:type="dxa"/>
          </w:tcPr>
          <w:p w:rsidR="008D199F" w:rsidRPr="008D199F" w:rsidRDefault="008D199F" w:rsidP="008D199F">
            <w:pPr>
              <w:spacing w:after="0" w:line="240" w:lineRule="auto"/>
              <w:ind w:left="138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</w:pPr>
            <w:r w:rsidRPr="008D199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608" w:type="dxa"/>
          </w:tcPr>
          <w:p w:rsidR="008D199F" w:rsidRPr="008D199F" w:rsidRDefault="008D199F" w:rsidP="008D1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</w:pPr>
            <w:r w:rsidRPr="008D199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Срок на действие на документа</w:t>
            </w: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8D199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/индивидуалния административен акт</w:t>
            </w:r>
          </w:p>
        </w:tc>
        <w:tc>
          <w:tcPr>
            <w:tcW w:w="5484" w:type="dxa"/>
          </w:tcPr>
          <w:p w:rsidR="008D199F" w:rsidRPr="008D199F" w:rsidRDefault="008D199F" w:rsidP="008D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D199F">
              <w:rPr>
                <w:rFonts w:ascii="Times New Roman" w:hAnsi="Times New Roman"/>
                <w:sz w:val="24"/>
                <w:szCs w:val="24"/>
                <w:lang w:val="bg-BG"/>
              </w:rPr>
              <w:t>Безсрочен</w:t>
            </w:r>
          </w:p>
          <w:p w:rsidR="008D199F" w:rsidRPr="008D199F" w:rsidRDefault="008D199F" w:rsidP="008D1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D199F" w:rsidRPr="008D199F" w:rsidTr="00723F9A">
        <w:trPr>
          <w:trHeight w:val="672"/>
        </w:trPr>
        <w:tc>
          <w:tcPr>
            <w:tcW w:w="518" w:type="dxa"/>
          </w:tcPr>
          <w:p w:rsidR="008D199F" w:rsidRPr="008D199F" w:rsidRDefault="008D199F" w:rsidP="008D199F">
            <w:pPr>
              <w:spacing w:after="0" w:line="240" w:lineRule="auto"/>
              <w:ind w:left="138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</w:pPr>
            <w:r w:rsidRPr="008D199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608" w:type="dxa"/>
          </w:tcPr>
          <w:p w:rsidR="008D199F" w:rsidRPr="008D199F" w:rsidRDefault="008D199F" w:rsidP="008D1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</w:pPr>
            <w:r w:rsidRPr="008D199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5484" w:type="dxa"/>
          </w:tcPr>
          <w:p w:rsidR="008D199F" w:rsidRPr="008D199F" w:rsidRDefault="008D199F" w:rsidP="008D1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D199F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Такси за </w:t>
            </w:r>
            <w:proofErr w:type="spellStart"/>
            <w:r w:rsidRPr="008D199F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валидиране</w:t>
            </w:r>
            <w:proofErr w:type="spellEnd"/>
            <w:r w:rsidRPr="008D199F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на компетентности, придобити чрез неформално обучение и </w:t>
            </w:r>
            <w:proofErr w:type="spellStart"/>
            <w:r w:rsidRPr="008D199F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информално</w:t>
            </w:r>
            <w:proofErr w:type="spellEnd"/>
            <w:r w:rsidRPr="008D199F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учене се събират съгласно чл. 7 от Тарифа за таксите, които се събират в системата на предучилищното и училищното образование</w:t>
            </w:r>
          </w:p>
        </w:tc>
      </w:tr>
      <w:tr w:rsidR="008D199F" w:rsidRPr="008D199F" w:rsidTr="00723F9A">
        <w:trPr>
          <w:trHeight w:val="416"/>
        </w:trPr>
        <w:tc>
          <w:tcPr>
            <w:tcW w:w="518" w:type="dxa"/>
          </w:tcPr>
          <w:p w:rsidR="008D199F" w:rsidRPr="008D199F" w:rsidRDefault="008D199F" w:rsidP="008D199F">
            <w:pPr>
              <w:spacing w:after="0" w:line="240" w:lineRule="auto"/>
              <w:ind w:left="138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</w:pPr>
            <w:r w:rsidRPr="008D199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608" w:type="dxa"/>
          </w:tcPr>
          <w:p w:rsidR="008D199F" w:rsidRPr="008D199F" w:rsidRDefault="008D199F" w:rsidP="008D1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</w:pPr>
            <w:r w:rsidRPr="008D199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</w:t>
            </w:r>
          </w:p>
        </w:tc>
        <w:tc>
          <w:tcPr>
            <w:tcW w:w="5484" w:type="dxa"/>
          </w:tcPr>
          <w:p w:rsidR="008D199F" w:rsidRPr="008D199F" w:rsidRDefault="008D199F" w:rsidP="008D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D199F">
              <w:rPr>
                <w:rFonts w:ascii="Times New Roman" w:hAnsi="Times New Roman"/>
                <w:sz w:val="24"/>
                <w:szCs w:val="24"/>
                <w:lang w:val="bg-BG"/>
              </w:rPr>
              <w:t>Регионалното управление на образованието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- Враца</w:t>
            </w:r>
          </w:p>
          <w:p w:rsidR="008D199F" w:rsidRPr="008D199F" w:rsidRDefault="008D199F" w:rsidP="008D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D199F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 на образованието е науката</w:t>
            </w:r>
          </w:p>
          <w:p w:rsidR="008D199F" w:rsidRPr="008D199F" w:rsidRDefault="008D199F" w:rsidP="008D1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D199F" w:rsidRPr="008D199F" w:rsidTr="00723F9A">
        <w:trPr>
          <w:trHeight w:val="672"/>
        </w:trPr>
        <w:tc>
          <w:tcPr>
            <w:tcW w:w="518" w:type="dxa"/>
          </w:tcPr>
          <w:p w:rsidR="008D199F" w:rsidRPr="008D199F" w:rsidRDefault="008D199F" w:rsidP="008D199F">
            <w:pPr>
              <w:spacing w:after="0" w:line="240" w:lineRule="auto"/>
              <w:ind w:left="138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</w:pPr>
            <w:r w:rsidRPr="008D199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608" w:type="dxa"/>
          </w:tcPr>
          <w:p w:rsidR="008D199F" w:rsidRPr="008D199F" w:rsidRDefault="008D199F" w:rsidP="008D1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</w:pPr>
            <w:r w:rsidRPr="008D199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5484" w:type="dxa"/>
          </w:tcPr>
          <w:p w:rsidR="008D199F" w:rsidRPr="008D199F" w:rsidRDefault="008D199F" w:rsidP="008D1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D199F">
              <w:rPr>
                <w:rFonts w:ascii="Times New Roman" w:hAnsi="Times New Roman"/>
                <w:sz w:val="24"/>
                <w:szCs w:val="24"/>
                <w:lang w:val="bg-BG"/>
              </w:rPr>
              <w:t>Отказът се обжалва по реда на Административнопроцесуалния кодекс пред Административен съд</w:t>
            </w:r>
          </w:p>
        </w:tc>
      </w:tr>
      <w:tr w:rsidR="008D199F" w:rsidRPr="008D199F" w:rsidTr="00723F9A">
        <w:trPr>
          <w:trHeight w:val="672"/>
        </w:trPr>
        <w:tc>
          <w:tcPr>
            <w:tcW w:w="518" w:type="dxa"/>
          </w:tcPr>
          <w:p w:rsidR="008D199F" w:rsidRPr="008D199F" w:rsidRDefault="008D199F" w:rsidP="008D199F">
            <w:pPr>
              <w:spacing w:after="0" w:line="240" w:lineRule="auto"/>
              <w:ind w:left="138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</w:pPr>
            <w:r w:rsidRPr="008D199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608" w:type="dxa"/>
          </w:tcPr>
          <w:p w:rsidR="008D199F" w:rsidRPr="008D199F" w:rsidRDefault="008D199F" w:rsidP="008D1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</w:pPr>
            <w:r w:rsidRPr="008D199F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</w:t>
            </w:r>
          </w:p>
        </w:tc>
        <w:tc>
          <w:tcPr>
            <w:tcW w:w="5484" w:type="dxa"/>
          </w:tcPr>
          <w:p w:rsidR="008D199F" w:rsidRPr="008D199F" w:rsidRDefault="008D199F" w:rsidP="008D1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99F">
              <w:rPr>
                <w:rFonts w:ascii="Times New Roman" w:hAnsi="Times New Roman"/>
                <w:sz w:val="24"/>
                <w:szCs w:val="24"/>
              </w:rPr>
              <w:t>ou_mizia@abv.bg</w:t>
            </w:r>
          </w:p>
          <w:p w:rsidR="008D199F" w:rsidRPr="008D199F" w:rsidRDefault="008D199F" w:rsidP="008D199F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D199F" w:rsidRPr="008D199F" w:rsidTr="00723F9A">
        <w:trPr>
          <w:trHeight w:val="672"/>
        </w:trPr>
        <w:tc>
          <w:tcPr>
            <w:tcW w:w="518" w:type="dxa"/>
          </w:tcPr>
          <w:p w:rsidR="008D199F" w:rsidRPr="008D199F" w:rsidRDefault="008D199F" w:rsidP="008D199F">
            <w:pPr>
              <w:spacing w:after="0" w:line="240" w:lineRule="auto"/>
              <w:ind w:left="138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</w:pPr>
            <w:r w:rsidRPr="008D199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  <w:lastRenderedPageBreak/>
              <w:t>12</w:t>
            </w:r>
          </w:p>
        </w:tc>
        <w:tc>
          <w:tcPr>
            <w:tcW w:w="4608" w:type="dxa"/>
          </w:tcPr>
          <w:p w:rsidR="008D199F" w:rsidRPr="008D199F" w:rsidRDefault="008D199F" w:rsidP="008D1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</w:pPr>
            <w:r w:rsidRPr="008D199F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</w:tc>
        <w:tc>
          <w:tcPr>
            <w:tcW w:w="5484" w:type="dxa"/>
          </w:tcPr>
          <w:p w:rsidR="008D199F" w:rsidRPr="008D199F" w:rsidRDefault="008D199F" w:rsidP="008D1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D199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След успешно полагане на всички изпити на лицата се издава Удостоверение за </w:t>
            </w:r>
            <w:proofErr w:type="spellStart"/>
            <w:r w:rsidRPr="008D199F">
              <w:rPr>
                <w:rFonts w:ascii="Times New Roman" w:hAnsi="Times New Roman"/>
                <w:sz w:val="24"/>
                <w:szCs w:val="24"/>
                <w:lang w:val="bg-BG"/>
              </w:rPr>
              <w:t>валидиране</w:t>
            </w:r>
            <w:proofErr w:type="spellEnd"/>
            <w:r w:rsidRPr="008D199F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8D199F" w:rsidRPr="008D199F" w:rsidRDefault="008D199F" w:rsidP="008D1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D199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Лично/чрез упълномощено лице</w:t>
            </w:r>
          </w:p>
          <w:p w:rsidR="008D199F" w:rsidRPr="008D199F" w:rsidRDefault="008D199F" w:rsidP="008D199F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8D199F" w:rsidRDefault="008D199F" w:rsidP="008D199F">
      <w:pPr>
        <w:rPr>
          <w:lang w:val="bg-BG"/>
        </w:rPr>
      </w:pPr>
      <w:bookmarkStart w:id="0" w:name="_GoBack"/>
      <w:bookmarkEnd w:id="0"/>
    </w:p>
    <w:sectPr w:rsidR="008D199F" w:rsidSect="00250220">
      <w:pgSz w:w="12240" w:h="15840"/>
      <w:pgMar w:top="567" w:right="284" w:bottom="284" w:left="1134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F4444"/>
    <w:multiLevelType w:val="hybridMultilevel"/>
    <w:tmpl w:val="675219C8"/>
    <w:lvl w:ilvl="0" w:tplc="0402000F">
      <w:start w:val="1"/>
      <w:numFmt w:val="decimal"/>
      <w:lvlText w:val="%1."/>
      <w:lvlJc w:val="left"/>
      <w:pPr>
        <w:ind w:left="54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EA5586"/>
    <w:multiLevelType w:val="hybridMultilevel"/>
    <w:tmpl w:val="9F7A890E"/>
    <w:lvl w:ilvl="0" w:tplc="533EE47A">
      <w:start w:val="1"/>
      <w:numFmt w:val="decimal"/>
      <w:lvlText w:val="%1."/>
      <w:lvlJc w:val="left"/>
      <w:pPr>
        <w:ind w:left="936" w:hanging="360"/>
      </w:pPr>
      <w:rPr>
        <w:rFonts w:ascii="Verdana" w:eastAsia="Times New Roman" w:hAnsi="Verdana" w:cs="Verdana" w:hint="default"/>
        <w:b/>
        <w:bCs/>
        <w:spacing w:val="-39"/>
        <w:w w:val="100"/>
        <w:sz w:val="22"/>
        <w:szCs w:val="22"/>
      </w:rPr>
    </w:lvl>
    <w:lvl w:ilvl="1" w:tplc="CDFCC3A2">
      <w:numFmt w:val="bullet"/>
      <w:lvlText w:val=""/>
      <w:lvlJc w:val="left"/>
      <w:pPr>
        <w:ind w:left="1417" w:hanging="424"/>
      </w:pPr>
      <w:rPr>
        <w:rFonts w:ascii="Wingdings" w:eastAsia="Times New Roman" w:hAnsi="Wingdings" w:hint="default"/>
        <w:w w:val="100"/>
        <w:sz w:val="22"/>
      </w:rPr>
    </w:lvl>
    <w:lvl w:ilvl="2" w:tplc="A664FA78">
      <w:numFmt w:val="bullet"/>
      <w:lvlText w:val=""/>
      <w:lvlJc w:val="left"/>
      <w:pPr>
        <w:ind w:left="2352" w:hanging="360"/>
      </w:pPr>
      <w:rPr>
        <w:rFonts w:ascii="Wingdings" w:eastAsia="Times New Roman" w:hAnsi="Wingdings" w:hint="default"/>
        <w:w w:val="100"/>
        <w:sz w:val="22"/>
      </w:rPr>
    </w:lvl>
    <w:lvl w:ilvl="3" w:tplc="66A666B0">
      <w:numFmt w:val="bullet"/>
      <w:lvlText w:val="•"/>
      <w:lvlJc w:val="left"/>
      <w:pPr>
        <w:ind w:left="3352" w:hanging="360"/>
      </w:pPr>
      <w:rPr>
        <w:rFonts w:hint="default"/>
      </w:rPr>
    </w:lvl>
    <w:lvl w:ilvl="4" w:tplc="CD78113A">
      <w:numFmt w:val="bullet"/>
      <w:lvlText w:val="•"/>
      <w:lvlJc w:val="left"/>
      <w:pPr>
        <w:ind w:left="4345" w:hanging="360"/>
      </w:pPr>
      <w:rPr>
        <w:rFonts w:hint="default"/>
      </w:rPr>
    </w:lvl>
    <w:lvl w:ilvl="5" w:tplc="5F36075C">
      <w:numFmt w:val="bullet"/>
      <w:lvlText w:val="•"/>
      <w:lvlJc w:val="left"/>
      <w:pPr>
        <w:ind w:left="5337" w:hanging="360"/>
      </w:pPr>
      <w:rPr>
        <w:rFonts w:hint="default"/>
      </w:rPr>
    </w:lvl>
    <w:lvl w:ilvl="6" w:tplc="B686DCC0">
      <w:numFmt w:val="bullet"/>
      <w:lvlText w:val="•"/>
      <w:lvlJc w:val="left"/>
      <w:pPr>
        <w:ind w:left="6330" w:hanging="360"/>
      </w:pPr>
      <w:rPr>
        <w:rFonts w:hint="default"/>
      </w:rPr>
    </w:lvl>
    <w:lvl w:ilvl="7" w:tplc="4D60D75C">
      <w:numFmt w:val="bullet"/>
      <w:lvlText w:val="•"/>
      <w:lvlJc w:val="left"/>
      <w:pPr>
        <w:ind w:left="7322" w:hanging="360"/>
      </w:pPr>
      <w:rPr>
        <w:rFonts w:hint="default"/>
      </w:rPr>
    </w:lvl>
    <w:lvl w:ilvl="8" w:tplc="96A25B58">
      <w:numFmt w:val="bullet"/>
      <w:lvlText w:val="•"/>
      <w:lvlJc w:val="left"/>
      <w:pPr>
        <w:ind w:left="8315" w:hanging="360"/>
      </w:pPr>
      <w:rPr>
        <w:rFonts w:hint="default"/>
      </w:rPr>
    </w:lvl>
  </w:abstractNum>
  <w:abstractNum w:abstractNumId="5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3E2645"/>
    <w:multiLevelType w:val="hybridMultilevel"/>
    <w:tmpl w:val="BD9452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6604BA8"/>
    <w:multiLevelType w:val="hybridMultilevel"/>
    <w:tmpl w:val="4CA83640"/>
    <w:lvl w:ilvl="0" w:tplc="88FEF542">
      <w:numFmt w:val="bullet"/>
      <w:lvlText w:val="–"/>
      <w:lvlJc w:val="left"/>
      <w:pPr>
        <w:ind w:left="216" w:hanging="276"/>
      </w:pPr>
      <w:rPr>
        <w:rFonts w:ascii="Verdana" w:eastAsia="Times New Roman" w:hAnsi="Verdana" w:hint="default"/>
        <w:spacing w:val="-20"/>
        <w:w w:val="100"/>
        <w:sz w:val="22"/>
      </w:rPr>
    </w:lvl>
    <w:lvl w:ilvl="1" w:tplc="953497C0">
      <w:numFmt w:val="bullet"/>
      <w:lvlText w:val=""/>
      <w:lvlJc w:val="left"/>
      <w:pPr>
        <w:ind w:left="936" w:hanging="360"/>
      </w:pPr>
      <w:rPr>
        <w:rFonts w:hint="default"/>
        <w:w w:val="100"/>
      </w:rPr>
    </w:lvl>
    <w:lvl w:ilvl="2" w:tplc="2024512E">
      <w:numFmt w:val="bullet"/>
      <w:lvlText w:val="•"/>
      <w:lvlJc w:val="left"/>
      <w:pPr>
        <w:ind w:left="1980" w:hanging="360"/>
      </w:pPr>
      <w:rPr>
        <w:rFonts w:hint="default"/>
      </w:rPr>
    </w:lvl>
    <w:lvl w:ilvl="3" w:tplc="A8DCA688">
      <w:numFmt w:val="bullet"/>
      <w:lvlText w:val="•"/>
      <w:lvlJc w:val="left"/>
      <w:pPr>
        <w:ind w:left="3020" w:hanging="360"/>
      </w:pPr>
      <w:rPr>
        <w:rFonts w:hint="default"/>
      </w:rPr>
    </w:lvl>
    <w:lvl w:ilvl="4" w:tplc="1ECAAF66">
      <w:numFmt w:val="bullet"/>
      <w:lvlText w:val="•"/>
      <w:lvlJc w:val="left"/>
      <w:pPr>
        <w:ind w:left="4060" w:hanging="360"/>
      </w:pPr>
      <w:rPr>
        <w:rFonts w:hint="default"/>
      </w:rPr>
    </w:lvl>
    <w:lvl w:ilvl="5" w:tplc="7116BF1E"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6B7E59F2">
      <w:numFmt w:val="bullet"/>
      <w:lvlText w:val="•"/>
      <w:lvlJc w:val="left"/>
      <w:pPr>
        <w:ind w:left="6140" w:hanging="360"/>
      </w:pPr>
      <w:rPr>
        <w:rFonts w:hint="default"/>
      </w:rPr>
    </w:lvl>
    <w:lvl w:ilvl="7" w:tplc="F8FEC3C8">
      <w:numFmt w:val="bullet"/>
      <w:lvlText w:val="•"/>
      <w:lvlJc w:val="left"/>
      <w:pPr>
        <w:ind w:left="7180" w:hanging="360"/>
      </w:pPr>
      <w:rPr>
        <w:rFonts w:hint="default"/>
      </w:rPr>
    </w:lvl>
    <w:lvl w:ilvl="8" w:tplc="60923C44">
      <w:numFmt w:val="bullet"/>
      <w:lvlText w:val="•"/>
      <w:lvlJc w:val="left"/>
      <w:pPr>
        <w:ind w:left="8220" w:hanging="360"/>
      </w:pPr>
      <w:rPr>
        <w:rFonts w:hint="default"/>
      </w:rPr>
    </w:lvl>
  </w:abstractNum>
  <w:abstractNum w:abstractNumId="11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3"/>
  </w:num>
  <w:num w:numId="5">
    <w:abstractNumId w:val="14"/>
  </w:num>
  <w:num w:numId="6">
    <w:abstractNumId w:val="7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  <w:num w:numId="11">
    <w:abstractNumId w:val="12"/>
  </w:num>
  <w:num w:numId="12">
    <w:abstractNumId w:val="2"/>
  </w:num>
  <w:num w:numId="13">
    <w:abstractNumId w:val="4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CA"/>
    <w:rsid w:val="000151BB"/>
    <w:rsid w:val="0002041C"/>
    <w:rsid w:val="00066058"/>
    <w:rsid w:val="00066623"/>
    <w:rsid w:val="00084DA4"/>
    <w:rsid w:val="000F2602"/>
    <w:rsid w:val="00105F3D"/>
    <w:rsid w:val="001322BF"/>
    <w:rsid w:val="00140D81"/>
    <w:rsid w:val="00163731"/>
    <w:rsid w:val="001731BB"/>
    <w:rsid w:val="001C1286"/>
    <w:rsid w:val="002022E6"/>
    <w:rsid w:val="002116F7"/>
    <w:rsid w:val="00250220"/>
    <w:rsid w:val="002632B6"/>
    <w:rsid w:val="00264AA8"/>
    <w:rsid w:val="002664E6"/>
    <w:rsid w:val="00276B5F"/>
    <w:rsid w:val="002B624B"/>
    <w:rsid w:val="002C1826"/>
    <w:rsid w:val="002D1D60"/>
    <w:rsid w:val="002E12C5"/>
    <w:rsid w:val="002F4D5B"/>
    <w:rsid w:val="003311EA"/>
    <w:rsid w:val="00335072"/>
    <w:rsid w:val="003A479C"/>
    <w:rsid w:val="003B5E01"/>
    <w:rsid w:val="003C49BA"/>
    <w:rsid w:val="003F2F9D"/>
    <w:rsid w:val="0041062F"/>
    <w:rsid w:val="00423390"/>
    <w:rsid w:val="004248B4"/>
    <w:rsid w:val="00480374"/>
    <w:rsid w:val="00481031"/>
    <w:rsid w:val="004A4144"/>
    <w:rsid w:val="004C230B"/>
    <w:rsid w:val="0052416E"/>
    <w:rsid w:val="00561623"/>
    <w:rsid w:val="00571151"/>
    <w:rsid w:val="00594179"/>
    <w:rsid w:val="005B7128"/>
    <w:rsid w:val="005C4F48"/>
    <w:rsid w:val="005F0EBB"/>
    <w:rsid w:val="00617303"/>
    <w:rsid w:val="006333CD"/>
    <w:rsid w:val="0065049F"/>
    <w:rsid w:val="006A378D"/>
    <w:rsid w:val="006E11CC"/>
    <w:rsid w:val="0071608E"/>
    <w:rsid w:val="00771588"/>
    <w:rsid w:val="0078119A"/>
    <w:rsid w:val="007E157A"/>
    <w:rsid w:val="007F5A0D"/>
    <w:rsid w:val="00823C5C"/>
    <w:rsid w:val="00861C01"/>
    <w:rsid w:val="00875AA7"/>
    <w:rsid w:val="00892D89"/>
    <w:rsid w:val="008C673F"/>
    <w:rsid w:val="008D199F"/>
    <w:rsid w:val="008E025B"/>
    <w:rsid w:val="008E48C5"/>
    <w:rsid w:val="008F3E6F"/>
    <w:rsid w:val="009051EC"/>
    <w:rsid w:val="00910D4E"/>
    <w:rsid w:val="0095483D"/>
    <w:rsid w:val="00956D67"/>
    <w:rsid w:val="00960B4E"/>
    <w:rsid w:val="0099695F"/>
    <w:rsid w:val="009A6828"/>
    <w:rsid w:val="009B3F66"/>
    <w:rsid w:val="009F6746"/>
    <w:rsid w:val="00A2317D"/>
    <w:rsid w:val="00A31F8B"/>
    <w:rsid w:val="00A5242E"/>
    <w:rsid w:val="00A55CF1"/>
    <w:rsid w:val="00A73596"/>
    <w:rsid w:val="00AE7913"/>
    <w:rsid w:val="00B30056"/>
    <w:rsid w:val="00B36A21"/>
    <w:rsid w:val="00B540FF"/>
    <w:rsid w:val="00B97738"/>
    <w:rsid w:val="00BC75C5"/>
    <w:rsid w:val="00BF4500"/>
    <w:rsid w:val="00C0010D"/>
    <w:rsid w:val="00C37BB9"/>
    <w:rsid w:val="00C6511D"/>
    <w:rsid w:val="00C969CA"/>
    <w:rsid w:val="00CC37C4"/>
    <w:rsid w:val="00D10D96"/>
    <w:rsid w:val="00D20691"/>
    <w:rsid w:val="00D973F5"/>
    <w:rsid w:val="00DA5433"/>
    <w:rsid w:val="00E20705"/>
    <w:rsid w:val="00E54900"/>
    <w:rsid w:val="00E64347"/>
    <w:rsid w:val="00E832A9"/>
    <w:rsid w:val="00EC198E"/>
    <w:rsid w:val="00EE431C"/>
    <w:rsid w:val="00EE463A"/>
    <w:rsid w:val="00EE5ED1"/>
    <w:rsid w:val="00F134B8"/>
    <w:rsid w:val="00F36C23"/>
    <w:rsid w:val="00F4374A"/>
    <w:rsid w:val="00F57AE5"/>
    <w:rsid w:val="00F63FF6"/>
    <w:rsid w:val="00F7366A"/>
    <w:rsid w:val="00F90ECE"/>
    <w:rsid w:val="00F94F76"/>
    <w:rsid w:val="00FA0B60"/>
    <w:rsid w:val="00FA4B05"/>
    <w:rsid w:val="00FE29BA"/>
    <w:rsid w:val="00FF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a5">
    <w:name w:val="Body Text"/>
    <w:basedOn w:val="a"/>
    <w:link w:val="a6"/>
    <w:uiPriority w:val="99"/>
    <w:semiHidden/>
    <w:unhideWhenUsed/>
    <w:rsid w:val="00FA0B60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semiHidden/>
    <w:locked/>
    <w:rsid w:val="00FA0B60"/>
    <w:rPr>
      <w:rFonts w:cs="Times New Roman"/>
    </w:rPr>
  </w:style>
  <w:style w:type="character" w:styleId="a7">
    <w:name w:val="Hyperlink"/>
    <w:basedOn w:val="a0"/>
    <w:uiPriority w:val="99"/>
    <w:unhideWhenUsed/>
    <w:rsid w:val="008D199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a5">
    <w:name w:val="Body Text"/>
    <w:basedOn w:val="a"/>
    <w:link w:val="a6"/>
    <w:uiPriority w:val="99"/>
    <w:semiHidden/>
    <w:unhideWhenUsed/>
    <w:rsid w:val="00FA0B60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semiHidden/>
    <w:locked/>
    <w:rsid w:val="00FA0B60"/>
    <w:rPr>
      <w:rFonts w:cs="Times New Roman"/>
    </w:rPr>
  </w:style>
  <w:style w:type="character" w:styleId="a7">
    <w:name w:val="Hyperlink"/>
    <w:basedOn w:val="a0"/>
    <w:uiPriority w:val="99"/>
    <w:unhideWhenUsed/>
    <w:rsid w:val="008D19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9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49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49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494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494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49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494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S Nikova</dc:creator>
  <cp:keywords/>
  <dc:description/>
  <cp:lastModifiedBy>Fujitsu</cp:lastModifiedBy>
  <cp:revision>5</cp:revision>
  <cp:lastPrinted>2019-01-04T09:46:00Z</cp:lastPrinted>
  <dcterms:created xsi:type="dcterms:W3CDTF">2019-01-10T09:37:00Z</dcterms:created>
  <dcterms:modified xsi:type="dcterms:W3CDTF">2020-02-04T13:17:00Z</dcterms:modified>
</cp:coreProperties>
</file>